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7828" w14:textId="77777777" w:rsidR="004259EE" w:rsidRDefault="004259EE" w:rsidP="004259EE">
      <w:pPr>
        <w:spacing w:before="21"/>
        <w:ind w:left="420"/>
        <w:rPr>
          <w:b/>
          <w:sz w:val="32"/>
        </w:rPr>
      </w:pPr>
      <w:r>
        <w:rPr>
          <w:b/>
          <w:sz w:val="32"/>
        </w:rPr>
        <w:t>MPLS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AP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Recruitment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Guidelines</w:t>
      </w:r>
    </w:p>
    <w:p w14:paraId="5D98450F" w14:textId="77777777" w:rsidR="004259EE" w:rsidRDefault="004259EE" w:rsidP="004259EE">
      <w:pPr>
        <w:pStyle w:val="BodyText"/>
        <w:rPr>
          <w:b/>
          <w:sz w:val="32"/>
        </w:rPr>
      </w:pPr>
    </w:p>
    <w:p w14:paraId="359E48EF" w14:textId="77777777" w:rsidR="004259EE" w:rsidRDefault="004259EE" w:rsidP="004259EE">
      <w:pPr>
        <w:pStyle w:val="BodyText"/>
        <w:spacing w:before="4"/>
        <w:rPr>
          <w:b/>
          <w:sz w:val="31"/>
        </w:rPr>
      </w:pPr>
    </w:p>
    <w:p w14:paraId="1460D5AA" w14:textId="77777777" w:rsidR="004259EE" w:rsidRDefault="004259EE" w:rsidP="004259EE">
      <w:pPr>
        <w:pStyle w:val="Heading3"/>
        <w:ind w:left="420"/>
      </w:pPr>
      <w:r>
        <w:t>Job</w:t>
      </w:r>
      <w:r>
        <w:rPr>
          <w:spacing w:val="-2"/>
        </w:rPr>
        <w:t xml:space="preserve"> Descriptions</w:t>
      </w:r>
    </w:p>
    <w:p w14:paraId="61F19041" w14:textId="77777777" w:rsidR="004259EE" w:rsidRDefault="004259EE" w:rsidP="004259EE">
      <w:pPr>
        <w:pStyle w:val="BodyText"/>
        <w:spacing w:before="182" w:line="259" w:lineRule="auto"/>
        <w:ind w:left="420" w:right="430"/>
      </w:pPr>
      <w:r>
        <w:t>To</w:t>
      </w:r>
      <w:r>
        <w:rPr>
          <w:spacing w:val="-3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pool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role,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descriptions should be clear and concise:</w:t>
      </w:r>
    </w:p>
    <w:p w14:paraId="0B3801FB" w14:textId="77777777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before="160" w:line="259" w:lineRule="auto"/>
        <w:ind w:right="1248" w:hanging="360"/>
      </w:pPr>
      <w:r>
        <w:t>limit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7-9</w:t>
      </w:r>
      <w:r>
        <w:rPr>
          <w:spacing w:val="-1"/>
        </w:rPr>
        <w:t xml:space="preserve"> </w:t>
      </w:r>
      <w:r>
        <w:t>distinct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smaller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 desirable criteria</w:t>
      </w:r>
    </w:p>
    <w:p w14:paraId="7EB0B107" w14:textId="77777777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before="1" w:line="259" w:lineRule="auto"/>
        <w:ind w:right="434" w:hanging="360"/>
      </w:pPr>
      <w:r>
        <w:t>Use potential, or ability, rather than experience for selection criteria. Noting that many applicants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facets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AP role but may be more than capable of carrying out the duties. Conversely, experience does not necessarily equate to ability.</w:t>
      </w:r>
    </w:p>
    <w:p w14:paraId="5B84583F" w14:textId="5AC6D6A1" w:rsidR="004259EE" w:rsidRDefault="004259EE" w:rsidP="004259EE">
      <w:pPr>
        <w:pStyle w:val="ListParagraph"/>
        <w:numPr>
          <w:ilvl w:val="0"/>
          <w:numId w:val="1"/>
        </w:numPr>
        <w:tabs>
          <w:tab w:val="left" w:pos="1138"/>
        </w:tabs>
        <w:spacing w:line="259" w:lineRule="auto"/>
        <w:ind w:left="1138" w:right="492" w:hanging="360"/>
      </w:pP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spent</w:t>
      </w:r>
      <w:r>
        <w:rPr>
          <w:spacing w:val="-1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research,</w:t>
      </w:r>
      <w:r>
        <w:rPr>
          <w:spacing w:val="-2"/>
        </w:rPr>
        <w:t xml:space="preserve"> </w:t>
      </w:r>
      <w:r>
        <w:t xml:space="preserve">teaching, and citizenship on average, </w:t>
      </w:r>
      <w:proofErr w:type="gramStart"/>
      <w:r>
        <w:t>e.g.</w:t>
      </w:r>
      <w:proofErr w:type="gramEnd"/>
      <w:r>
        <w:t xml:space="preserve"> </w:t>
      </w:r>
      <w:r w:rsidR="00F83DFC">
        <w:t>1</w:t>
      </w:r>
      <w:r>
        <w:t>0-</w:t>
      </w:r>
      <w:r w:rsidR="00F83DFC">
        <w:t>3</w:t>
      </w:r>
      <w:r>
        <w:t xml:space="preserve">0% teaching., </w:t>
      </w:r>
      <w:r w:rsidR="00F83DFC">
        <w:t>4</w:t>
      </w:r>
      <w:r>
        <w:t>0-</w:t>
      </w:r>
      <w:r w:rsidR="00F83DFC">
        <w:t>7</w:t>
      </w:r>
      <w:r>
        <w:t>0% research, 10-20% citizenship and that this may vary across different academic years.</w:t>
      </w:r>
    </w:p>
    <w:p w14:paraId="7F3A48B7" w14:textId="51ABD955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line="256" w:lineRule="auto"/>
        <w:ind w:right="544"/>
      </w:pP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planned</w:t>
      </w:r>
      <w:r>
        <w:rPr>
          <w:spacing w:val="-4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cannot attend certain dates.</w:t>
      </w:r>
      <w:r w:rsidR="00F83DFC">
        <w:t xml:space="preserve"> Potentially providing a neutral academic point of contact for queries.</w:t>
      </w:r>
    </w:p>
    <w:p w14:paraId="7A04A0E5" w14:textId="77777777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before="2" w:line="259" w:lineRule="auto"/>
        <w:ind w:right="1061"/>
      </w:pPr>
      <w:r>
        <w:t>State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childcare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interview</w:t>
      </w:r>
      <w:r>
        <w:rPr>
          <w:spacing w:val="-4"/>
        </w:rPr>
        <w:t xml:space="preserve"> </w:t>
      </w:r>
      <w:r>
        <w:t>visits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to enable those people with caring responsibilities to attend without additional stress.</w:t>
      </w:r>
    </w:p>
    <w:p w14:paraId="1E9D5A51" w14:textId="460BA412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line="259" w:lineRule="auto"/>
        <w:ind w:right="966"/>
      </w:pPr>
      <w:r>
        <w:t>Plan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thorough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proactive</w:t>
      </w:r>
      <w:r>
        <w:rPr>
          <w:spacing w:val="-3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the job</w:t>
      </w:r>
      <w:r>
        <w:rPr>
          <w:spacing w:val="-2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to as</w:t>
      </w:r>
      <w:r>
        <w:rPr>
          <w:spacing w:val="-3"/>
        </w:rPr>
        <w:t xml:space="preserve"> </w:t>
      </w:r>
      <w:r>
        <w:t>wide a</w:t>
      </w:r>
      <w:r>
        <w:rPr>
          <w:spacing w:val="-3"/>
        </w:rPr>
        <w:t xml:space="preserve"> </w:t>
      </w:r>
      <w:r>
        <w:t>pool</w:t>
      </w:r>
      <w:r>
        <w:rPr>
          <w:spacing w:val="-4"/>
        </w:rPr>
        <w:t xml:space="preserve"> </w:t>
      </w:r>
      <w:r>
        <w:t>of potentially suitable applicants as possible</w:t>
      </w:r>
      <w:r w:rsidR="00F83DFC">
        <w:t xml:space="preserve">. </w:t>
      </w:r>
      <w:proofErr w:type="gramStart"/>
      <w:r w:rsidR="00F83DFC">
        <w:t>E.g.</w:t>
      </w:r>
      <w:proofErr w:type="gramEnd"/>
      <w:r w:rsidR="00F83DFC">
        <w:t xml:space="preserve"> share the advert through social media and other communication channels, and more general academic networks. Consider using recruitment experts with the aim of diversifying the applicant pool.</w:t>
      </w:r>
    </w:p>
    <w:p w14:paraId="159EA946" w14:textId="77777777" w:rsidR="004259EE" w:rsidRDefault="004259EE" w:rsidP="004259EE">
      <w:pPr>
        <w:pStyle w:val="Heading3"/>
        <w:spacing w:before="157"/>
        <w:ind w:left="420"/>
      </w:pPr>
      <w:r>
        <w:rPr>
          <w:spacing w:val="-2"/>
        </w:rPr>
        <w:t>Shortlisting</w:t>
      </w:r>
    </w:p>
    <w:p w14:paraId="02D09FBA" w14:textId="77777777" w:rsidR="004259EE" w:rsidRDefault="004259EE" w:rsidP="004259EE">
      <w:pPr>
        <w:pStyle w:val="ListParagraph"/>
        <w:numPr>
          <w:ilvl w:val="0"/>
          <w:numId w:val="1"/>
        </w:numPr>
        <w:tabs>
          <w:tab w:val="left" w:pos="1140"/>
        </w:tabs>
        <w:spacing w:before="185" w:line="259" w:lineRule="auto"/>
        <w:ind w:left="1140" w:right="1199"/>
      </w:pPr>
      <w:r>
        <w:t>Contact the</w:t>
      </w:r>
      <w:r>
        <w:rPr>
          <w:spacing w:val="-3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HR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to proceed if there is a single-gender pool of applicants or a single-gender shortlist</w:t>
      </w:r>
    </w:p>
    <w:p w14:paraId="188C4604" w14:textId="2B0750A3" w:rsidR="004259EE" w:rsidRDefault="00F83DFC" w:rsidP="004259EE">
      <w:pPr>
        <w:pStyle w:val="ListParagraph"/>
        <w:numPr>
          <w:ilvl w:val="0"/>
          <w:numId w:val="1"/>
        </w:numPr>
        <w:tabs>
          <w:tab w:val="left" w:pos="1139"/>
        </w:tabs>
        <w:spacing w:line="259" w:lineRule="auto"/>
        <w:ind w:right="836"/>
        <w:rPr>
          <w:b/>
        </w:rPr>
      </w:pPr>
      <w:r>
        <w:t>The relative w</w:t>
      </w:r>
      <w:r w:rsidR="004259EE">
        <w:t>eighting</w:t>
      </w:r>
      <w:r w:rsidR="004259EE">
        <w:rPr>
          <w:spacing w:val="-3"/>
        </w:rPr>
        <w:t xml:space="preserve"> </w:t>
      </w:r>
      <w:r>
        <w:t>of</w:t>
      </w:r>
      <w:r w:rsidR="004259EE">
        <w:rPr>
          <w:spacing w:val="-4"/>
        </w:rPr>
        <w:t xml:space="preserve"> </w:t>
      </w:r>
      <w:r w:rsidR="004259EE">
        <w:t>the</w:t>
      </w:r>
      <w:r>
        <w:t xml:space="preserve"> essential</w:t>
      </w:r>
      <w:r w:rsidR="004259EE">
        <w:rPr>
          <w:spacing w:val="-1"/>
        </w:rPr>
        <w:t xml:space="preserve"> </w:t>
      </w:r>
      <w:r w:rsidR="004259EE">
        <w:t>criteria</w:t>
      </w:r>
      <w:r w:rsidR="004259EE">
        <w:rPr>
          <w:spacing w:val="-2"/>
        </w:rPr>
        <w:t xml:space="preserve"> </w:t>
      </w:r>
      <w:r w:rsidR="004259EE">
        <w:t>should</w:t>
      </w:r>
      <w:r w:rsidR="004259EE">
        <w:rPr>
          <w:spacing w:val="-3"/>
        </w:rPr>
        <w:t xml:space="preserve"> </w:t>
      </w:r>
      <w:r w:rsidR="004259EE">
        <w:t>be</w:t>
      </w:r>
      <w:r w:rsidR="004259EE">
        <w:rPr>
          <w:spacing w:val="-1"/>
        </w:rPr>
        <w:t xml:space="preserve"> </w:t>
      </w:r>
      <w:r w:rsidR="004259EE">
        <w:t>decided</w:t>
      </w:r>
      <w:r w:rsidR="004259EE">
        <w:rPr>
          <w:spacing w:val="-3"/>
        </w:rPr>
        <w:t xml:space="preserve"> </w:t>
      </w:r>
      <w:r w:rsidR="004259EE">
        <w:t>before</w:t>
      </w:r>
      <w:r w:rsidR="004259EE">
        <w:rPr>
          <w:spacing w:val="-1"/>
        </w:rPr>
        <w:t xml:space="preserve"> </w:t>
      </w:r>
      <w:r w:rsidR="004259EE">
        <w:t>shortlisting,</w:t>
      </w:r>
      <w:r w:rsidR="004259EE">
        <w:rPr>
          <w:spacing w:val="-2"/>
        </w:rPr>
        <w:t xml:space="preserve"> </w:t>
      </w:r>
      <w:r>
        <w:t>with</w:t>
      </w:r>
      <w:r w:rsidR="004259EE">
        <w:t xml:space="preserve"> clearly defined minimum expectations for each (see scoring below)</w:t>
      </w:r>
      <w:r w:rsidR="004259EE">
        <w:rPr>
          <w:b/>
        </w:rPr>
        <w:t>.</w:t>
      </w:r>
    </w:p>
    <w:p w14:paraId="5866B7B5" w14:textId="354EAABE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line="256" w:lineRule="auto"/>
        <w:ind w:right="954"/>
      </w:pPr>
      <w:r>
        <w:t>Shortlisting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alone,</w:t>
      </w:r>
      <w:r>
        <w:rPr>
          <w:spacing w:val="-5"/>
        </w:rPr>
        <w:t xml:space="preserve"> </w:t>
      </w:r>
      <w:r>
        <w:t>preferably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ranked scores against each criterion (</w:t>
      </w:r>
      <w:proofErr w:type="gramStart"/>
      <w:r>
        <w:t>e.g.</w:t>
      </w:r>
      <w:proofErr w:type="gramEnd"/>
      <w:r>
        <w:t xml:space="preserve"> </w:t>
      </w:r>
      <w:r w:rsidR="00F83DFC">
        <w:t xml:space="preserve">a narrow </w:t>
      </w:r>
      <w:r>
        <w:t>numerical scoring</w:t>
      </w:r>
      <w:r w:rsidR="00F83DFC">
        <w:t xml:space="preserve"> system (1,2,3,4</w:t>
      </w:r>
      <w:r>
        <w:t>).</w:t>
      </w:r>
    </w:p>
    <w:p w14:paraId="77A28AB2" w14:textId="77777777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before="4" w:line="256" w:lineRule="auto"/>
        <w:ind w:right="495"/>
      </w:pPr>
      <w:r>
        <w:t>A</w:t>
      </w:r>
      <w:r>
        <w:rPr>
          <w:spacing w:val="-1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shortlisted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candidates were not, with evidence of the reasons (e.g. scoring). This is to ensure the shortlisting decisions are not exposed to a discrimination claim.</w:t>
      </w:r>
    </w:p>
    <w:p w14:paraId="31AFB6BE" w14:textId="77777777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before="7" w:line="259" w:lineRule="auto"/>
        <w:ind w:right="1142"/>
      </w:pPr>
      <w:r>
        <w:t>Career</w:t>
      </w:r>
      <w:r>
        <w:rPr>
          <w:spacing w:val="-2"/>
        </w:rPr>
        <w:t xml:space="preserve"> </w:t>
      </w:r>
      <w:r>
        <w:t>breaks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ill-health</w:t>
      </w:r>
      <w:r>
        <w:rPr>
          <w:spacing w:val="-3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covid)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in assessing the size (not the quality) of the body of work.</w:t>
      </w:r>
    </w:p>
    <w:p w14:paraId="1DAB8E42" w14:textId="77777777" w:rsidR="004259EE" w:rsidRDefault="004259EE" w:rsidP="004259EE">
      <w:pPr>
        <w:pStyle w:val="Heading3"/>
        <w:spacing w:before="157"/>
        <w:ind w:left="420"/>
      </w:pPr>
      <w:r>
        <w:t>Interview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Assessment</w:t>
      </w:r>
    </w:p>
    <w:p w14:paraId="597D3E89" w14:textId="69B8F7A2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before="184" w:line="256" w:lineRule="auto"/>
        <w:ind w:right="1156" w:hanging="360"/>
      </w:pPr>
      <w:r>
        <w:t>The</w:t>
      </w:r>
      <w:r>
        <w:rPr>
          <w:spacing w:val="-2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showcases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Department,</w:t>
      </w:r>
      <w:r>
        <w:rPr>
          <w:spacing w:val="-2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t>and University in a positive way</w:t>
      </w:r>
      <w:r w:rsidR="00F83DFC">
        <w:t>, highlighting how the applicant would benefit from being at Oxford (we should be selling ourselves to the applicant).</w:t>
      </w:r>
    </w:p>
    <w:p w14:paraId="34D4EF54" w14:textId="77777777" w:rsidR="004259EE" w:rsidRDefault="004259EE" w:rsidP="004259EE">
      <w:pPr>
        <w:pStyle w:val="ListParagraph"/>
        <w:numPr>
          <w:ilvl w:val="0"/>
          <w:numId w:val="1"/>
        </w:numPr>
        <w:tabs>
          <w:tab w:val="left" w:pos="1140"/>
        </w:tabs>
        <w:spacing w:before="4" w:line="259" w:lineRule="auto"/>
        <w:ind w:left="1140" w:right="593"/>
      </w:pPr>
      <w:r>
        <w:t>Invitations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process, including panel membership, details of a research talk and a tutorial assessment where appropriate. Particular attention should be paid to explaining the role of the department</w:t>
      </w:r>
    </w:p>
    <w:p w14:paraId="67EE3005" w14:textId="77777777" w:rsidR="004259EE" w:rsidRDefault="004259EE" w:rsidP="004259EE">
      <w:pPr>
        <w:spacing w:line="259" w:lineRule="auto"/>
        <w:sectPr w:rsidR="004259EE">
          <w:pgSz w:w="11910" w:h="16840"/>
          <w:pgMar w:top="1400" w:right="1020" w:bottom="280" w:left="1020" w:header="720" w:footer="720" w:gutter="0"/>
          <w:cols w:space="720"/>
        </w:sectPr>
      </w:pPr>
    </w:p>
    <w:p w14:paraId="37B52D19" w14:textId="00A9488A" w:rsidR="004259EE" w:rsidRDefault="004259EE" w:rsidP="004259EE">
      <w:pPr>
        <w:pStyle w:val="BodyText"/>
        <w:spacing w:before="41" w:line="259" w:lineRule="auto"/>
        <w:ind w:left="1140" w:right="430"/>
      </w:pPr>
      <w:r>
        <w:lastRenderedPageBreak/>
        <w:t>and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</w:t>
      </w:r>
      <w:r>
        <w:rPr>
          <w:spacing w:val="-2"/>
        </w:rPr>
        <w:t xml:space="preserve"> </w:t>
      </w:r>
      <w:r>
        <w:t>role,</w:t>
      </w:r>
      <w:r>
        <w:rPr>
          <w:spacing w:val="-3"/>
        </w:rPr>
        <w:t xml:space="preserve"> </w:t>
      </w:r>
      <w:proofErr w:type="gramStart"/>
      <w:r>
        <w:t>e.g.</w:t>
      </w:r>
      <w:proofErr w:type="gramEnd"/>
      <w:r>
        <w:rPr>
          <w:spacing w:val="-1"/>
        </w:rPr>
        <w:t xml:space="preserve"> </w:t>
      </w:r>
      <w:r>
        <w:t>the tutorial</w:t>
      </w:r>
      <w:r>
        <w:rPr>
          <w:spacing w:val="-4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noting</w:t>
      </w:r>
      <w:r>
        <w:rPr>
          <w:spacing w:val="-2"/>
        </w:rPr>
        <w:t xml:space="preserve"> </w:t>
      </w:r>
      <w:r>
        <w:t>that this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the</w:t>
      </w:r>
      <w:r>
        <w:rPr>
          <w:spacing w:val="-5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vast majority of other HEIs.</w:t>
      </w:r>
      <w:r w:rsidR="00CE46EE">
        <w:t xml:space="preserve"> A non-panel member should be listed as a point of contact to avoid panel members being contacted individually, or to enable panel members to redirect queries.</w:t>
      </w:r>
    </w:p>
    <w:p w14:paraId="3C8FE688" w14:textId="0ECED317" w:rsidR="004259EE" w:rsidRDefault="004259EE" w:rsidP="004259EE">
      <w:pPr>
        <w:pStyle w:val="ListParagraph"/>
        <w:numPr>
          <w:ilvl w:val="0"/>
          <w:numId w:val="1"/>
        </w:numPr>
        <w:tabs>
          <w:tab w:val="left" w:pos="1140"/>
        </w:tabs>
        <w:spacing w:before="1" w:line="259" w:lineRule="auto"/>
        <w:ind w:left="1140" w:right="758" w:hanging="360"/>
      </w:pPr>
      <w:r>
        <w:t>Be</w:t>
      </w:r>
      <w:r>
        <w:rPr>
          <w:spacing w:val="-1"/>
        </w:rPr>
        <w:t xml:space="preserve"> </w:t>
      </w:r>
      <w:r>
        <w:t>respectful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candidate’s</w:t>
      </w:r>
      <w:r>
        <w:rPr>
          <w:spacing w:val="-4"/>
        </w:rPr>
        <w:t xml:space="preserve"> </w:t>
      </w:r>
      <w:r>
        <w:t>constraints,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 w:rsidR="00F83DFC">
        <w:rPr>
          <w:spacing w:val="-3"/>
        </w:rPr>
        <w:t xml:space="preserve"> have constrained schedules</w:t>
      </w:r>
      <w:r w:rsidR="00F83DFC">
        <w:t>, and</w:t>
      </w:r>
      <w:r>
        <w:t xml:space="preserve"> may have caring responsibilities or health issues that they may be uncomfortable sharing information about.</w:t>
      </w:r>
    </w:p>
    <w:p w14:paraId="778BD010" w14:textId="14F5319B" w:rsidR="004259EE" w:rsidRDefault="004259EE" w:rsidP="004259EE">
      <w:pPr>
        <w:pStyle w:val="ListParagraph"/>
        <w:numPr>
          <w:ilvl w:val="0"/>
          <w:numId w:val="1"/>
        </w:numPr>
        <w:tabs>
          <w:tab w:val="left" w:pos="1140"/>
        </w:tabs>
        <w:spacing w:line="256" w:lineRule="auto"/>
        <w:ind w:left="1140" w:right="530"/>
      </w:pP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interviews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acoustics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that the environment is </w:t>
      </w:r>
      <w:proofErr w:type="gramStart"/>
      <w:r>
        <w:t>welcoming</w:t>
      </w:r>
      <w:r w:rsidR="00F83DFC">
        <w:t>, and</w:t>
      </w:r>
      <w:proofErr w:type="gramEnd"/>
      <w:r w:rsidR="00F83DFC">
        <w:t xml:space="preserve"> implement reasonable adjustments if requested</w:t>
      </w:r>
      <w:r>
        <w:t>.</w:t>
      </w:r>
    </w:p>
    <w:p w14:paraId="49B9DBCA" w14:textId="2F84C0D8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before="2" w:line="256" w:lineRule="auto"/>
        <w:ind w:right="620" w:hanging="360"/>
        <w:jc w:val="both"/>
      </w:pPr>
      <w:r>
        <w:t>Interview questions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essential</w:t>
      </w:r>
      <w:r>
        <w:rPr>
          <w:spacing w:val="-1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evidence that</w:t>
      </w:r>
      <w:r>
        <w:rPr>
          <w:spacing w:val="-3"/>
        </w:rPr>
        <w:t xml:space="preserve"> </w:t>
      </w:r>
      <w:r>
        <w:t>the candidate</w:t>
      </w:r>
      <w:r>
        <w:rPr>
          <w:spacing w:val="-4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criteria,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hopefully</w:t>
      </w:r>
      <w:r>
        <w:rPr>
          <w:spacing w:val="-3"/>
        </w:rPr>
        <w:t xml:space="preserve"> </w:t>
      </w:r>
      <w:r>
        <w:t>excels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them.</w:t>
      </w:r>
      <w:r>
        <w:rPr>
          <w:spacing w:val="-5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set for all candidates to ensure fair comparisons.</w:t>
      </w:r>
    </w:p>
    <w:p w14:paraId="7A31B676" w14:textId="77777777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before="7" w:line="259" w:lineRule="auto"/>
        <w:ind w:right="616" w:hanging="360"/>
      </w:pPr>
      <w:r>
        <w:t>Panels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interview. Clearly not all questions can be communicated in advance, e.g. in follow up to research and teaching presentations, however a standard set focused on the essential criteria will enable candidates to provide more informative answers, which better reflect their ability to carry out the role of an AP.</w:t>
      </w:r>
    </w:p>
    <w:p w14:paraId="6031C427" w14:textId="77777777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line="256" w:lineRule="auto"/>
        <w:ind w:right="582"/>
      </w:pPr>
      <w:r>
        <w:t>If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tutorial</w:t>
      </w:r>
      <w:r>
        <w:rPr>
          <w:spacing w:val="-2"/>
        </w:rPr>
        <w:t xml:space="preserve"> </w:t>
      </w:r>
      <w:r>
        <w:t>assessment,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present for all candidate’s assessments to ensure consistency and fairness.</w:t>
      </w:r>
    </w:p>
    <w:p w14:paraId="703EEC99" w14:textId="77777777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before="4" w:line="259" w:lineRule="auto"/>
        <w:ind w:right="898"/>
      </w:pPr>
      <w:r>
        <w:t>Collect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(and</w:t>
      </w:r>
      <w:r>
        <w:rPr>
          <w:spacing w:val="-3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assessors)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interview </w:t>
      </w:r>
      <w:r>
        <w:rPr>
          <w:spacing w:val="-2"/>
        </w:rPr>
        <w:t>session.</w:t>
      </w:r>
    </w:p>
    <w:p w14:paraId="3907A105" w14:textId="40198DC8" w:rsidR="004259EE" w:rsidRDefault="004259EE" w:rsidP="004259EE">
      <w:pPr>
        <w:pStyle w:val="ListParagraph"/>
        <w:numPr>
          <w:ilvl w:val="0"/>
          <w:numId w:val="1"/>
        </w:numPr>
        <w:tabs>
          <w:tab w:val="left" w:pos="1139"/>
        </w:tabs>
        <w:spacing w:before="1" w:line="259" w:lineRule="auto"/>
        <w:ind w:right="549"/>
      </w:pPr>
      <w:r>
        <w:t xml:space="preserve">It is the responsibility of </w:t>
      </w:r>
      <w:r w:rsidR="00F83DFC">
        <w:t xml:space="preserve">the chair, but </w:t>
      </w:r>
      <w:r>
        <w:rPr>
          <w:i/>
        </w:rPr>
        <w:t xml:space="preserve">everyone </w:t>
      </w:r>
      <w:r>
        <w:t xml:space="preserve">on the panel </w:t>
      </w:r>
      <w:r w:rsidR="00F83DFC">
        <w:t>should</w:t>
      </w:r>
      <w:r>
        <w:t xml:space="preserve"> ensure that the panel act responsibly, fairly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unbiased</w:t>
      </w:r>
      <w:r>
        <w:rPr>
          <w:spacing w:val="-4"/>
        </w:rPr>
        <w:t xml:space="preserve"> </w:t>
      </w:r>
      <w:r>
        <w:t>manner,</w:t>
      </w:r>
      <w:r>
        <w:rPr>
          <w:spacing w:val="-2"/>
        </w:rPr>
        <w:t xml:space="preserve"> </w:t>
      </w:r>
      <w:r>
        <w:t>ranking</w:t>
      </w:r>
      <w:r>
        <w:rPr>
          <w:spacing w:val="-3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JD. Where possible </w:t>
      </w:r>
      <w:r w:rsidR="00F83DFC">
        <w:t xml:space="preserve">the panel should reflect the diversity of the department and </w:t>
      </w:r>
      <w:r>
        <w:t>an HR professional should be witness to the interview process and be empowered to intervene if they deem conversations veer from the criteria.</w:t>
      </w:r>
      <w:r w:rsidR="00F83DFC">
        <w:t xml:space="preserve"> </w:t>
      </w:r>
    </w:p>
    <w:p w14:paraId="74B904F8" w14:textId="2F60FD69" w:rsidR="004259EE" w:rsidRDefault="004259EE" w:rsidP="004259EE">
      <w:pPr>
        <w:pStyle w:val="ListParagraph"/>
        <w:numPr>
          <w:ilvl w:val="0"/>
          <w:numId w:val="1"/>
        </w:numPr>
        <w:tabs>
          <w:tab w:val="left" w:pos="1140"/>
        </w:tabs>
        <w:spacing w:line="259" w:lineRule="auto"/>
        <w:ind w:left="1140" w:right="449"/>
      </w:pPr>
      <w:r>
        <w:t xml:space="preserve">All shortlisted candidates should be provided with the same overall experience, </w:t>
      </w:r>
      <w:proofErr w:type="gramStart"/>
      <w:r>
        <w:t>e.g.</w:t>
      </w:r>
      <w:proofErr w:type="gramEnd"/>
      <w:r w:rsidR="00F83DFC">
        <w:t xml:space="preserve"> lunches/dinners,</w:t>
      </w:r>
      <w:r>
        <w:t xml:space="preserve"> tours around the department/college</w:t>
      </w:r>
      <w:r w:rsidR="00F83DFC">
        <w:t>, exposure to the diversity of students and staff where possible</w:t>
      </w:r>
      <w:r>
        <w:t>. Knowledge of the candidate should not be considered evidence within the selection process, therefore where possible, visits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department and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who are</w:t>
      </w:r>
      <w:r>
        <w:rPr>
          <w:spacing w:val="-5"/>
        </w:rPr>
        <w:t xml:space="preserve"> </w:t>
      </w:r>
      <w:r>
        <w:t>not part</w:t>
      </w:r>
      <w:r>
        <w:rPr>
          <w:spacing w:val="-3"/>
        </w:rPr>
        <w:t xml:space="preserve"> </w:t>
      </w:r>
      <w:r>
        <w:t>of the selection process.</w:t>
      </w:r>
    </w:p>
    <w:p w14:paraId="7C28A792" w14:textId="77777777" w:rsidR="00F83DFC" w:rsidRDefault="00F83DFC" w:rsidP="00F83DFC">
      <w:pPr>
        <w:tabs>
          <w:tab w:val="left" w:pos="1140"/>
        </w:tabs>
        <w:spacing w:line="259" w:lineRule="auto"/>
        <w:ind w:right="449"/>
      </w:pPr>
    </w:p>
    <w:p w14:paraId="2357E055" w14:textId="12E6EDBF" w:rsidR="00F83DFC" w:rsidRDefault="00F83DFC" w:rsidP="00F83DFC">
      <w:pPr>
        <w:tabs>
          <w:tab w:val="left" w:pos="1140"/>
        </w:tabs>
        <w:spacing w:line="259" w:lineRule="auto"/>
        <w:ind w:right="449"/>
      </w:pPr>
    </w:p>
    <w:p w14:paraId="43A88351" w14:textId="50E82B4C" w:rsidR="00F83DFC" w:rsidRDefault="00B4704D" w:rsidP="00F83DFC">
      <w:pPr>
        <w:tabs>
          <w:tab w:val="left" w:pos="1140"/>
        </w:tabs>
        <w:spacing w:line="259" w:lineRule="auto"/>
        <w:ind w:right="449"/>
      </w:pPr>
      <w:r>
        <w:t xml:space="preserve">For further information please see the University’s </w:t>
      </w:r>
      <w:hyperlink r:id="rId5" w:history="1">
        <w:r w:rsidRPr="00B4704D">
          <w:rPr>
            <w:rStyle w:val="Hyperlink"/>
          </w:rPr>
          <w:t>Associate Professor Inclusive Recruitment Guidelines</w:t>
        </w:r>
      </w:hyperlink>
      <w:r>
        <w:t xml:space="preserve"> </w:t>
      </w:r>
    </w:p>
    <w:p w14:paraId="4AECB387" w14:textId="75D1DC12" w:rsidR="00B4704D" w:rsidRDefault="00B4704D" w:rsidP="00F83DFC">
      <w:pPr>
        <w:tabs>
          <w:tab w:val="left" w:pos="1140"/>
        </w:tabs>
        <w:spacing w:line="259" w:lineRule="auto"/>
        <w:ind w:right="449"/>
      </w:pPr>
    </w:p>
    <w:p w14:paraId="44CFC35E" w14:textId="77777777" w:rsidR="00B4704D" w:rsidRDefault="00B4704D" w:rsidP="00F83DFC">
      <w:pPr>
        <w:tabs>
          <w:tab w:val="left" w:pos="1140"/>
        </w:tabs>
        <w:spacing w:line="259" w:lineRule="auto"/>
        <w:ind w:right="449"/>
      </w:pPr>
    </w:p>
    <w:sectPr w:rsidR="00B4704D" w:rsidSect="004259EE"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A3B5B"/>
    <w:multiLevelType w:val="hybridMultilevel"/>
    <w:tmpl w:val="83387206"/>
    <w:lvl w:ilvl="0" w:tplc="DD7A2368">
      <w:numFmt w:val="bullet"/>
      <w:lvlText w:val=""/>
      <w:lvlJc w:val="left"/>
      <w:pPr>
        <w:ind w:left="11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28E850">
      <w:numFmt w:val="bullet"/>
      <w:lvlText w:val="•"/>
      <w:lvlJc w:val="left"/>
      <w:pPr>
        <w:ind w:left="2012" w:hanging="361"/>
      </w:pPr>
      <w:rPr>
        <w:rFonts w:hint="default"/>
        <w:lang w:val="en-US" w:eastAsia="en-US" w:bidi="ar-SA"/>
      </w:rPr>
    </w:lvl>
    <w:lvl w:ilvl="2" w:tplc="C48CC576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3" w:tplc="E2C41C56">
      <w:numFmt w:val="bullet"/>
      <w:lvlText w:val="•"/>
      <w:lvlJc w:val="left"/>
      <w:pPr>
        <w:ind w:left="3757" w:hanging="361"/>
      </w:pPr>
      <w:rPr>
        <w:rFonts w:hint="default"/>
        <w:lang w:val="en-US" w:eastAsia="en-US" w:bidi="ar-SA"/>
      </w:rPr>
    </w:lvl>
    <w:lvl w:ilvl="4" w:tplc="5E3A3858">
      <w:numFmt w:val="bullet"/>
      <w:lvlText w:val="•"/>
      <w:lvlJc w:val="left"/>
      <w:pPr>
        <w:ind w:left="4630" w:hanging="361"/>
      </w:pPr>
      <w:rPr>
        <w:rFonts w:hint="default"/>
        <w:lang w:val="en-US" w:eastAsia="en-US" w:bidi="ar-SA"/>
      </w:rPr>
    </w:lvl>
    <w:lvl w:ilvl="5" w:tplc="D8A617B6">
      <w:numFmt w:val="bullet"/>
      <w:lvlText w:val="•"/>
      <w:lvlJc w:val="left"/>
      <w:pPr>
        <w:ind w:left="5503" w:hanging="361"/>
      </w:pPr>
      <w:rPr>
        <w:rFonts w:hint="default"/>
        <w:lang w:val="en-US" w:eastAsia="en-US" w:bidi="ar-SA"/>
      </w:rPr>
    </w:lvl>
    <w:lvl w:ilvl="6" w:tplc="F8D008B2">
      <w:numFmt w:val="bullet"/>
      <w:lvlText w:val="•"/>
      <w:lvlJc w:val="left"/>
      <w:pPr>
        <w:ind w:left="6375" w:hanging="361"/>
      </w:pPr>
      <w:rPr>
        <w:rFonts w:hint="default"/>
        <w:lang w:val="en-US" w:eastAsia="en-US" w:bidi="ar-SA"/>
      </w:rPr>
    </w:lvl>
    <w:lvl w:ilvl="7" w:tplc="D39ED884">
      <w:numFmt w:val="bullet"/>
      <w:lvlText w:val="•"/>
      <w:lvlJc w:val="left"/>
      <w:pPr>
        <w:ind w:left="7248" w:hanging="361"/>
      </w:pPr>
      <w:rPr>
        <w:rFonts w:hint="default"/>
        <w:lang w:val="en-US" w:eastAsia="en-US" w:bidi="ar-SA"/>
      </w:rPr>
    </w:lvl>
    <w:lvl w:ilvl="8" w:tplc="DA2C5BDE">
      <w:numFmt w:val="bullet"/>
      <w:lvlText w:val="•"/>
      <w:lvlJc w:val="left"/>
      <w:pPr>
        <w:ind w:left="8121" w:hanging="361"/>
      </w:pPr>
      <w:rPr>
        <w:rFonts w:hint="default"/>
        <w:lang w:val="en-US" w:eastAsia="en-US" w:bidi="ar-SA"/>
      </w:rPr>
    </w:lvl>
  </w:abstractNum>
  <w:num w:numId="1" w16cid:durableId="65013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EE"/>
    <w:rsid w:val="004259EE"/>
    <w:rsid w:val="00434FFB"/>
    <w:rsid w:val="006B4E33"/>
    <w:rsid w:val="00B4704D"/>
    <w:rsid w:val="00CE46EE"/>
    <w:rsid w:val="00DC6F61"/>
    <w:rsid w:val="00F8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C0BC"/>
  <w15:chartTrackingRefBased/>
  <w15:docId w15:val="{FE4F3EAF-CDBC-40FC-880A-B2182B33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9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4259EE"/>
    <w:pPr>
      <w:ind w:left="2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4259EE"/>
    <w:pPr>
      <w:ind w:left="11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59EE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259EE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259EE"/>
  </w:style>
  <w:style w:type="character" w:customStyle="1" w:styleId="BodyTextChar">
    <w:name w:val="Body Text Char"/>
    <w:basedOn w:val="DefaultParagraphFont"/>
    <w:link w:val="BodyText"/>
    <w:uiPriority w:val="1"/>
    <w:rsid w:val="004259EE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4259EE"/>
    <w:pPr>
      <w:ind w:left="858" w:hanging="361"/>
    </w:pPr>
  </w:style>
  <w:style w:type="paragraph" w:customStyle="1" w:styleId="TableParagraph">
    <w:name w:val="Table Paragraph"/>
    <w:basedOn w:val="Normal"/>
    <w:uiPriority w:val="1"/>
    <w:qFormat/>
    <w:rsid w:val="004259EE"/>
  </w:style>
  <w:style w:type="character" w:styleId="Hyperlink">
    <w:name w:val="Hyperlink"/>
    <w:basedOn w:val="DefaultParagraphFont"/>
    <w:uiPriority w:val="99"/>
    <w:unhideWhenUsed/>
    <w:rsid w:val="00B47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.admin.ox.ac.uk/files/associateprofessorinclusiverecruitmentguidelines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825</Words>
  <Characters>4731</Characters>
  <Application>Microsoft Office Word</Application>
  <DocSecurity>0</DocSecurity>
  <Lines>69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Booth</dc:creator>
  <cp:keywords/>
  <dc:description/>
  <cp:lastModifiedBy>Matt Jarvis</cp:lastModifiedBy>
  <cp:revision>3</cp:revision>
  <dcterms:created xsi:type="dcterms:W3CDTF">2023-12-07T11:04:00Z</dcterms:created>
  <dcterms:modified xsi:type="dcterms:W3CDTF">2023-12-07T11:05:00Z</dcterms:modified>
</cp:coreProperties>
</file>